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53" w:rsidRDefault="008F4275" w:rsidP="006A4753">
      <w:pPr>
        <w:pStyle w:val="a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777730" cy="7104744"/>
            <wp:effectExtent l="19050" t="0" r="0" b="0"/>
            <wp:docPr id="1" name="Рисунок 1" descr="C:\Users\uzer\Desktop\2021-22=Итог\Баженовой ОВ — копия\ост\2021-09-15 рабочие прогр по истори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2021-22=Итог\Баженовой ОВ — копия\ост\2021-09-15 рабочие прогр по истории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E9" w:rsidRDefault="002667E9" w:rsidP="006A4753">
      <w:pPr>
        <w:pStyle w:val="a4"/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ПЛАНИРУЕМЫЕ РЕЗУЛЬТАТЫ ОСВОЕНИЯ ПРОГРАММЫ</w:t>
      </w:r>
    </w:p>
    <w:p w:rsidR="00BB0303" w:rsidRDefault="00580A35" w:rsidP="006A4753">
      <w:pPr>
        <w:pStyle w:val="a4"/>
      </w:pPr>
      <w:r>
        <w:t xml:space="preserve">В результате изучения мировой художественной культуры на базовом уровне ученик должен:  знать/понимать:  </w:t>
      </w:r>
    </w:p>
    <w:p w:rsidR="00580A35" w:rsidRDefault="00580A35" w:rsidP="006A4753">
      <w:pPr>
        <w:pStyle w:val="a4"/>
      </w:pPr>
      <w:r>
        <w:t xml:space="preserve">- основные виды и жанры искусства;  - изученные направления и стили мировой художественной культуры;  - шедевры мировой художественной культуры;  - особенности языка различных видов искусства;  уметь:  - узнавать изученные произведения и соотносить их с определенной эпохой, стилем, направлением;  - устанавливать стилевые и сюжетные связи между произведениями разных видов искусства;  - пользоваться различными источниками информации о мировой художественной культуре;  - выполнять учебные и творческие задания (доклады, сообщения);  использовать приобретенные знания и умения в практической деятельности и повседневной жизни для:  - выбора путей своего культурного развития;  - организации личного и коллективного досуга;  - выражения собственного суждения о произведениях классики и современного искусства;  - самостоятельного художественного творчества; 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 </w:t>
      </w:r>
    </w:p>
    <w:p w:rsidR="00580A35" w:rsidRDefault="00580A35" w:rsidP="006A4753">
      <w:pPr>
        <w:pStyle w:val="a4"/>
      </w:pPr>
      <w:r>
        <w:t xml:space="preserve">В результате освоения содержания программы учебного предмета учащийся получает возможность совершенствовать и расширить круг общих учебных умений, навыков и способов деятельности.   </w:t>
      </w:r>
    </w:p>
    <w:p w:rsidR="00580A35" w:rsidRDefault="00580A35" w:rsidP="006A4753">
      <w:pPr>
        <w:pStyle w:val="a4"/>
      </w:pPr>
      <w:r>
        <w:t xml:space="preserve">Познавательная деятельность  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  </w:t>
      </w:r>
      <w:proofErr w:type="gramStart"/>
      <w: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>
        <w:t xml:space="preserve"> </w:t>
      </w:r>
      <w:proofErr w:type="gramStart"/>
      <w:r>
        <w:t>"Что произойдет, если...").</w:t>
      </w:r>
      <w:proofErr w:type="gramEnd"/>
      <w: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  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 </w:t>
      </w:r>
    </w:p>
    <w:p w:rsidR="00580A35" w:rsidRDefault="00580A35" w:rsidP="006A4753">
      <w:pPr>
        <w:pStyle w:val="a4"/>
      </w:pPr>
      <w:r>
        <w:t xml:space="preserve"> Информационно-коммуникативная деятельность  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 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 </w:t>
      </w:r>
    </w:p>
    <w:p w:rsidR="002667E9" w:rsidRDefault="00580A35" w:rsidP="006A4753">
      <w:pPr>
        <w:pStyle w:val="a4"/>
      </w:pPr>
      <w:r>
        <w:t xml:space="preserve">Рефлексивная деятельность  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 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</w:t>
      </w:r>
      <w:r>
        <w:lastRenderedPageBreak/>
        <w:t xml:space="preserve">по деятельности, объективное определение своего вклада в общий результат. 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  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  </w:t>
      </w:r>
    </w:p>
    <w:p w:rsidR="002667E9" w:rsidRPr="002667E9" w:rsidRDefault="002667E9" w:rsidP="006A4753">
      <w:pPr>
        <w:pStyle w:val="a4"/>
        <w:jc w:val="center"/>
      </w:pPr>
      <w:r w:rsidRPr="00967490">
        <w:rPr>
          <w:b/>
          <w:lang w:val="en-US"/>
        </w:rPr>
        <w:t>II</w:t>
      </w:r>
      <w:r w:rsidRPr="00967490">
        <w:rPr>
          <w:b/>
        </w:rPr>
        <w:t>. СОДЕРЖАНИЕ УЧЕБНОГО КУРСА</w:t>
      </w:r>
    </w:p>
    <w:p w:rsidR="00580A35" w:rsidRPr="002667E9" w:rsidRDefault="00580A35" w:rsidP="006A4753">
      <w:pPr>
        <w:pStyle w:val="a4"/>
        <w:rPr>
          <w:b/>
        </w:rPr>
      </w:pPr>
      <w:r>
        <w:rPr>
          <w:b/>
          <w:bCs/>
          <w:sz w:val="21"/>
          <w:szCs w:val="21"/>
        </w:rPr>
        <w:t>Художественная культура XVII - XVIII вв. </w:t>
      </w:r>
      <w:r>
        <w:rPr>
          <w:sz w:val="21"/>
          <w:szCs w:val="21"/>
        </w:rPr>
        <w:t xml:space="preserve"> Стили и направления в искусстве Нового времени - проблема многообразия и взаимовлияния. Изменение мировосприятия в эпоху 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 ансамбли Рима (площадь Святого Петра Л. Бернини), Петербурга и его окрестностей (Зимний дворец, Петергоф, Ф.-Б. Растрелли) - национальные варианты барокко. Пафос грандиозности в живописи П.-П. Рубенса. </w:t>
      </w:r>
      <w:proofErr w:type="gramStart"/>
      <w:r>
        <w:rPr>
          <w:sz w:val="21"/>
          <w:szCs w:val="21"/>
        </w:rPr>
        <w:t xml:space="preserve">Творчество Рембрандта X. </w:t>
      </w:r>
      <w:proofErr w:type="spellStart"/>
      <w:r>
        <w:rPr>
          <w:sz w:val="21"/>
          <w:szCs w:val="21"/>
        </w:rPr>
        <w:t>ван</w:t>
      </w:r>
      <w:proofErr w:type="spellEnd"/>
      <w:r>
        <w:rPr>
          <w:sz w:val="21"/>
          <w:szCs w:val="21"/>
        </w:rPr>
        <w:t xml:space="preserve"> Рейна как пример психологического реализма XVII в. в живописи.</w:t>
      </w:r>
      <w:proofErr w:type="gramEnd"/>
      <w:r>
        <w:rPr>
          <w:sz w:val="21"/>
          <w:szCs w:val="21"/>
        </w:rPr>
        <w:t> </w:t>
      </w:r>
      <w:r>
        <w:rPr>
          <w:i/>
          <w:iCs/>
          <w:sz w:val="21"/>
          <w:szCs w:val="21"/>
        </w:rPr>
        <w:t>Расцвет гомофонно-гармонического стиля в опере барокко («Орфей» К, Монтеверди). Высший расцвет свободной полифонии (И.-С. Бах).</w:t>
      </w:r>
    </w:p>
    <w:p w:rsidR="00580A35" w:rsidRDefault="00580A35" w:rsidP="006A4753">
      <w:pPr>
        <w:pStyle w:val="a4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Классицизм - гармоничный мир дворцов и парков Версаля. Образ идеального города в классицистических и ампирных </w:t>
      </w:r>
      <w:r>
        <w:rPr>
          <w:i/>
          <w:iCs/>
          <w:sz w:val="21"/>
          <w:szCs w:val="21"/>
        </w:rPr>
        <w:t>ансамблях Парижа </w:t>
      </w:r>
      <w:r>
        <w:rPr>
          <w:sz w:val="21"/>
          <w:szCs w:val="21"/>
        </w:rPr>
        <w:t>и Петербурга. От классицизма к академизму в живописи на примере произведений Н. Пуссена, </w:t>
      </w:r>
      <w:r>
        <w:rPr>
          <w:i/>
          <w:iCs/>
          <w:sz w:val="21"/>
          <w:szCs w:val="21"/>
        </w:rPr>
        <w:t>Ж.-Л. Давида, </w:t>
      </w:r>
      <w:r>
        <w:rPr>
          <w:sz w:val="21"/>
          <w:szCs w:val="21"/>
        </w:rPr>
        <w:t>К.П. Брюллова, </w:t>
      </w:r>
      <w:r>
        <w:rPr>
          <w:i/>
          <w:iCs/>
          <w:sz w:val="21"/>
          <w:szCs w:val="21"/>
        </w:rPr>
        <w:t xml:space="preserve">А.А. </w:t>
      </w:r>
      <w:proofErr w:type="spellStart"/>
      <w:r>
        <w:rPr>
          <w:i/>
          <w:iCs/>
          <w:sz w:val="21"/>
          <w:szCs w:val="21"/>
        </w:rPr>
        <w:t>Иванова</w:t>
      </w:r>
      <w:proofErr w:type="gramStart"/>
      <w:r>
        <w:rPr>
          <w:i/>
          <w:iCs/>
          <w:sz w:val="21"/>
          <w:szCs w:val="21"/>
        </w:rPr>
        <w:t>.</w:t>
      </w:r>
      <w:r>
        <w:rPr>
          <w:sz w:val="21"/>
          <w:szCs w:val="21"/>
        </w:rPr>
        <w:t>Ф</w:t>
      </w:r>
      <w:proofErr w:type="gramEnd"/>
      <w:r>
        <w:rPr>
          <w:sz w:val="21"/>
          <w:szCs w:val="21"/>
        </w:rPr>
        <w:t>ормирование</w:t>
      </w:r>
      <w:proofErr w:type="spellEnd"/>
      <w:r>
        <w:rPr>
          <w:sz w:val="21"/>
          <w:szCs w:val="21"/>
        </w:rPr>
        <w:t xml:space="preserve"> классических жанров и принципов симфонизма в произведениях мастеров Венской классической школы: В.-А. Моцарт («Дон Жуан»), Л. </w:t>
      </w:r>
      <w:proofErr w:type="spellStart"/>
      <w:r>
        <w:rPr>
          <w:sz w:val="21"/>
          <w:szCs w:val="21"/>
        </w:rPr>
        <w:t>ван</w:t>
      </w:r>
      <w:proofErr w:type="spellEnd"/>
      <w:r>
        <w:rPr>
          <w:sz w:val="21"/>
          <w:szCs w:val="21"/>
        </w:rPr>
        <w:t xml:space="preserve"> Бетховен (Героическая симфония, Лунная соната).</w:t>
      </w:r>
    </w:p>
    <w:p w:rsidR="00580A35" w:rsidRDefault="00580A35" w:rsidP="006A4753">
      <w:pPr>
        <w:pStyle w:val="a4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Романтический идеал и его отображение в камерной музыке </w:t>
      </w:r>
      <w:r>
        <w:rPr>
          <w:i/>
          <w:iCs/>
          <w:sz w:val="21"/>
          <w:szCs w:val="21"/>
        </w:rPr>
        <w:t>(«Лесной царь» Ф. Шуберта), </w:t>
      </w:r>
      <w:r>
        <w:rPr>
          <w:sz w:val="21"/>
          <w:szCs w:val="21"/>
        </w:rPr>
        <w:t>и опере («Летучий голландец» Р. Вагнера). Романтизм в живописи: </w:t>
      </w:r>
      <w:r>
        <w:rPr>
          <w:i/>
          <w:iCs/>
          <w:sz w:val="21"/>
          <w:szCs w:val="21"/>
        </w:rPr>
        <w:t>религиозная и литературная тема у прерафаэлитов, </w:t>
      </w:r>
      <w:r>
        <w:rPr>
          <w:sz w:val="21"/>
          <w:szCs w:val="21"/>
        </w:rPr>
        <w:t>революционный пафос Ф. Гойи и Э. </w:t>
      </w:r>
      <w:r>
        <w:rPr>
          <w:i/>
          <w:iCs/>
          <w:sz w:val="21"/>
          <w:szCs w:val="21"/>
        </w:rPr>
        <w:t>Делакруа, </w:t>
      </w:r>
      <w:r>
        <w:rPr>
          <w:sz w:val="21"/>
          <w:szCs w:val="21"/>
        </w:rPr>
        <w:t>образ романтического героя в творчестве О. Кипренского. Зарождение русской классической музыкальной школы (М.И. Глинка).</w:t>
      </w:r>
    </w:p>
    <w:p w:rsidR="00580A35" w:rsidRDefault="00580A35" w:rsidP="006A4753">
      <w:pPr>
        <w:pStyle w:val="a4"/>
        <w:rPr>
          <w:rFonts w:ascii="Arial" w:hAnsi="Arial" w:cs="Arial"/>
          <w:sz w:val="21"/>
          <w:szCs w:val="21"/>
        </w:rPr>
      </w:pPr>
      <w:proofErr w:type="gramStart"/>
      <w:r>
        <w:rPr>
          <w:sz w:val="21"/>
          <w:szCs w:val="21"/>
        </w:rPr>
        <w:t>Социальная тематика в живописи реализма: специфика французской </w:t>
      </w:r>
      <w:r>
        <w:rPr>
          <w:i/>
          <w:iCs/>
          <w:sz w:val="21"/>
          <w:szCs w:val="21"/>
        </w:rPr>
        <w:t>(Г. Курбе, </w:t>
      </w:r>
      <w:r>
        <w:rPr>
          <w:sz w:val="21"/>
          <w:szCs w:val="21"/>
        </w:rPr>
        <w:t>О. Домье) и русской </w:t>
      </w:r>
      <w:r>
        <w:rPr>
          <w:i/>
          <w:iCs/>
          <w:sz w:val="21"/>
          <w:szCs w:val="21"/>
        </w:rPr>
        <w:t>(художники - передвижники, </w:t>
      </w:r>
      <w:r>
        <w:rPr>
          <w:sz w:val="21"/>
          <w:szCs w:val="21"/>
        </w:rPr>
        <w:t>И. Е. Репин, В. И. Суриков) школ.</w:t>
      </w:r>
      <w:proofErr w:type="gramEnd"/>
      <w:r>
        <w:rPr>
          <w:sz w:val="21"/>
          <w:szCs w:val="21"/>
        </w:rPr>
        <w:t xml:space="preserve"> Развитие русской музыки во второй половине XIX в. (П. И. Чайковский).</w:t>
      </w:r>
    </w:p>
    <w:p w:rsidR="00580A35" w:rsidRDefault="00580A35" w:rsidP="006A4753">
      <w:pPr>
        <w:pStyle w:val="a4"/>
        <w:rPr>
          <w:rFonts w:ascii="Arial" w:hAnsi="Arial" w:cs="Arial"/>
          <w:sz w:val="21"/>
          <w:szCs w:val="21"/>
        </w:rPr>
      </w:pPr>
      <w:r>
        <w:rPr>
          <w:b/>
          <w:bCs/>
          <w:sz w:val="21"/>
          <w:szCs w:val="21"/>
        </w:rPr>
        <w:t>Художественная культура XIX вв.</w:t>
      </w:r>
      <w:r>
        <w:rPr>
          <w:sz w:val="21"/>
          <w:szCs w:val="21"/>
        </w:rPr>
        <w:t xml:space="preserve"> Основные направления в живописи конца XIX века: абсолютизация впечатления в импрессионизме (К. Моне); постимпрессионизм: символическое мышление и экспрессия произведений В. </w:t>
      </w:r>
      <w:proofErr w:type="spellStart"/>
      <w:r>
        <w:rPr>
          <w:sz w:val="21"/>
          <w:szCs w:val="21"/>
        </w:rPr>
        <w:t>ван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Гога</w:t>
      </w:r>
      <w:proofErr w:type="spellEnd"/>
      <w:r>
        <w:rPr>
          <w:sz w:val="21"/>
          <w:szCs w:val="21"/>
        </w:rPr>
        <w:t xml:space="preserve"> и </w:t>
      </w:r>
      <w:r>
        <w:rPr>
          <w:i/>
          <w:iCs/>
          <w:sz w:val="21"/>
          <w:szCs w:val="21"/>
        </w:rPr>
        <w:t>П. Гогена, «синтетическая форма» П. Сезанна. </w:t>
      </w:r>
      <w:r>
        <w:rPr>
          <w:sz w:val="21"/>
          <w:szCs w:val="21"/>
        </w:rPr>
        <w:t>Синтез искусств в модерне: собор Святого Семейства А. Гауди и </w:t>
      </w:r>
      <w:r>
        <w:rPr>
          <w:i/>
          <w:iCs/>
          <w:sz w:val="21"/>
          <w:szCs w:val="21"/>
        </w:rPr>
        <w:t xml:space="preserve">особняки В. Орта и Ф. О. </w:t>
      </w:r>
      <w:proofErr w:type="spellStart"/>
      <w:r>
        <w:rPr>
          <w:i/>
          <w:iCs/>
          <w:sz w:val="21"/>
          <w:szCs w:val="21"/>
        </w:rPr>
        <w:t>Шехтеля</w:t>
      </w:r>
      <w:proofErr w:type="spellEnd"/>
      <w:r>
        <w:rPr>
          <w:i/>
          <w:iCs/>
          <w:sz w:val="21"/>
          <w:szCs w:val="21"/>
        </w:rPr>
        <w:t>. </w:t>
      </w:r>
      <w:r>
        <w:rPr>
          <w:sz w:val="21"/>
          <w:szCs w:val="21"/>
        </w:rPr>
        <w:t>Символ и миф в живописи (цикл «Демон» М. А. Врубеля) и </w:t>
      </w:r>
      <w:r>
        <w:rPr>
          <w:i/>
          <w:iCs/>
          <w:sz w:val="21"/>
          <w:szCs w:val="21"/>
        </w:rPr>
        <w:t>музыке («Прометей» А. Н. Скрябина).</w:t>
      </w:r>
    </w:p>
    <w:p w:rsidR="00580A35" w:rsidRPr="0039037C" w:rsidRDefault="00580A35" w:rsidP="006A4753">
      <w:pPr>
        <w:pStyle w:val="a4"/>
        <w:rPr>
          <w:rFonts w:ascii="Arial" w:hAnsi="Arial" w:cs="Arial"/>
          <w:sz w:val="21"/>
          <w:szCs w:val="21"/>
        </w:rPr>
      </w:pPr>
      <w:r>
        <w:rPr>
          <w:b/>
          <w:bCs/>
          <w:sz w:val="21"/>
          <w:szCs w:val="21"/>
        </w:rPr>
        <w:t>Художественная культура XX вв.</w:t>
      </w:r>
      <w:r>
        <w:rPr>
          <w:sz w:val="21"/>
          <w:szCs w:val="21"/>
        </w:rPr>
        <w:t xml:space="preserve"> Художественные течения модернизма в живописи XX века: деформация и поиск устойчивых геометрических форм в кубизме (П. Пикассо), отказ от изобразительности в абстрактном искусстве (В. Кандинский), </w:t>
      </w:r>
      <w:proofErr w:type="spellStart"/>
      <w:r>
        <w:rPr>
          <w:sz w:val="21"/>
          <w:szCs w:val="21"/>
        </w:rPr>
        <w:t>иррационализмподсознательного</w:t>
      </w:r>
      <w:proofErr w:type="spellEnd"/>
      <w:r>
        <w:rPr>
          <w:sz w:val="21"/>
          <w:szCs w:val="21"/>
        </w:rPr>
        <w:t xml:space="preserve"> в сюрреализме (С. Дали). Архитектура XX </w:t>
      </w:r>
      <w:proofErr w:type="gramStart"/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.: </w:t>
      </w:r>
      <w:proofErr w:type="gramStart"/>
      <w:r>
        <w:rPr>
          <w:sz w:val="21"/>
          <w:szCs w:val="21"/>
        </w:rPr>
        <w:t>башня</w:t>
      </w:r>
      <w:proofErr w:type="gramEnd"/>
      <w:r>
        <w:rPr>
          <w:sz w:val="21"/>
          <w:szCs w:val="21"/>
        </w:rPr>
        <w:t> III Интернационала В.Е. Татлина, </w:t>
      </w:r>
      <w:r>
        <w:rPr>
          <w:i/>
          <w:iCs/>
          <w:sz w:val="21"/>
          <w:szCs w:val="21"/>
        </w:rPr>
        <w:t xml:space="preserve">вилла «Савой» в </w:t>
      </w:r>
      <w:proofErr w:type="spellStart"/>
      <w:r>
        <w:rPr>
          <w:i/>
          <w:iCs/>
          <w:sz w:val="21"/>
          <w:szCs w:val="21"/>
        </w:rPr>
        <w:t>Пуасси</w:t>
      </w:r>
      <w:proofErr w:type="spellEnd"/>
      <w:r>
        <w:rPr>
          <w:i/>
          <w:iCs/>
          <w:sz w:val="21"/>
          <w:szCs w:val="21"/>
        </w:rPr>
        <w:t xml:space="preserve"> Ш.-Э. </w:t>
      </w:r>
      <w:proofErr w:type="spellStart"/>
      <w:r>
        <w:rPr>
          <w:i/>
          <w:iCs/>
          <w:sz w:val="21"/>
          <w:szCs w:val="21"/>
        </w:rPr>
        <w:t>Ле</w:t>
      </w:r>
      <w:proofErr w:type="spellEnd"/>
      <w:r>
        <w:rPr>
          <w:i/>
          <w:iCs/>
          <w:sz w:val="21"/>
          <w:szCs w:val="21"/>
        </w:rPr>
        <w:t xml:space="preserve"> Корбюзье, </w:t>
      </w:r>
      <w:r>
        <w:rPr>
          <w:sz w:val="21"/>
          <w:szCs w:val="21"/>
        </w:rPr>
        <w:t xml:space="preserve">музей </w:t>
      </w:r>
      <w:proofErr w:type="spellStart"/>
      <w:r>
        <w:rPr>
          <w:sz w:val="21"/>
          <w:szCs w:val="21"/>
        </w:rPr>
        <w:t>Гуггенхейма</w:t>
      </w:r>
      <w:proofErr w:type="spellEnd"/>
      <w:r>
        <w:rPr>
          <w:sz w:val="21"/>
          <w:szCs w:val="21"/>
        </w:rPr>
        <w:t xml:space="preserve"> Ф.-Л. Райта, </w:t>
      </w:r>
      <w:r>
        <w:rPr>
          <w:i/>
          <w:iCs/>
          <w:sz w:val="21"/>
          <w:szCs w:val="21"/>
        </w:rPr>
        <w:t>ансамбль города Бразилиа О. Нимейера. Театральная культура XX века: режиссерский театр К. С.Станиславского и В. И. Немировича-Данченко и эпический театр Б. Брехта. </w:t>
      </w:r>
      <w:r>
        <w:rPr>
          <w:sz w:val="21"/>
          <w:szCs w:val="21"/>
        </w:rPr>
        <w:t xml:space="preserve">Стилистическая разнородность в музыке XX века: от традиционализма до авангардизма и постмодернизма (С.С. Прокофьев, Д.Д. Шостакович, А.Г. </w:t>
      </w:r>
      <w:proofErr w:type="spellStart"/>
      <w:r>
        <w:rPr>
          <w:sz w:val="21"/>
          <w:szCs w:val="21"/>
        </w:rPr>
        <w:t>Шнитке</w:t>
      </w:r>
      <w:proofErr w:type="spellEnd"/>
      <w:r>
        <w:rPr>
          <w:sz w:val="21"/>
          <w:szCs w:val="21"/>
        </w:rPr>
        <w:t>). </w:t>
      </w:r>
      <w:r>
        <w:rPr>
          <w:i/>
          <w:iCs/>
          <w:sz w:val="21"/>
          <w:szCs w:val="21"/>
        </w:rPr>
        <w:t>Синтез искусств -- особенная черта культуры </w:t>
      </w:r>
      <w:proofErr w:type="spellStart"/>
      <w:r>
        <w:rPr>
          <w:i/>
          <w:iCs/>
          <w:sz w:val="21"/>
          <w:szCs w:val="21"/>
        </w:rPr>
        <w:t>XXвека</w:t>
      </w:r>
      <w:proofErr w:type="spellEnd"/>
      <w:r>
        <w:rPr>
          <w:i/>
          <w:iCs/>
          <w:sz w:val="21"/>
          <w:szCs w:val="21"/>
        </w:rPr>
        <w:t>: кинематограф («Броненосец Потёмкин» С.М. Эйзенштейна, «</w:t>
      </w:r>
      <w:proofErr w:type="spellStart"/>
      <w:r>
        <w:rPr>
          <w:i/>
          <w:iCs/>
          <w:sz w:val="21"/>
          <w:szCs w:val="21"/>
        </w:rPr>
        <w:t>Амаркорд</w:t>
      </w:r>
      <w:proofErr w:type="spellEnd"/>
      <w:r>
        <w:rPr>
          <w:i/>
          <w:iCs/>
          <w:sz w:val="21"/>
          <w:szCs w:val="21"/>
        </w:rPr>
        <w:t xml:space="preserve">» Ф. Феллини), виды и жанры телевидения, дизайн, компьютерная графика и анимация, мюзикл («Иисус Христос </w:t>
      </w:r>
      <w:proofErr w:type="gramStart"/>
      <w:r>
        <w:rPr>
          <w:i/>
          <w:iCs/>
          <w:sz w:val="21"/>
          <w:szCs w:val="21"/>
        </w:rPr>
        <w:t>-С</w:t>
      </w:r>
      <w:proofErr w:type="gramEnd"/>
      <w:r>
        <w:rPr>
          <w:i/>
          <w:iCs/>
          <w:sz w:val="21"/>
          <w:szCs w:val="21"/>
        </w:rPr>
        <w:t xml:space="preserve">уперзвезда» Э. Ллойд </w:t>
      </w:r>
      <w:proofErr w:type="spellStart"/>
      <w:r>
        <w:rPr>
          <w:i/>
          <w:iCs/>
          <w:sz w:val="21"/>
          <w:szCs w:val="21"/>
        </w:rPr>
        <w:t>Уэббер</w:t>
      </w:r>
      <w:proofErr w:type="spellEnd"/>
      <w:r>
        <w:rPr>
          <w:i/>
          <w:iCs/>
          <w:sz w:val="21"/>
          <w:szCs w:val="21"/>
        </w:rPr>
        <w:t xml:space="preserve">). Рок-музыка (Битлз - «Жёлтая подводная лодка, </w:t>
      </w:r>
      <w:proofErr w:type="spellStart"/>
      <w:r>
        <w:rPr>
          <w:i/>
          <w:iCs/>
          <w:sz w:val="21"/>
          <w:szCs w:val="21"/>
        </w:rPr>
        <w:t>ПинкФлой</w:t>
      </w:r>
      <w:proofErr w:type="gramStart"/>
      <w:r>
        <w:rPr>
          <w:i/>
          <w:iCs/>
          <w:sz w:val="21"/>
          <w:szCs w:val="21"/>
        </w:rPr>
        <w:t>д</w:t>
      </w:r>
      <w:proofErr w:type="spellEnd"/>
      <w:r>
        <w:rPr>
          <w:i/>
          <w:iCs/>
          <w:sz w:val="21"/>
          <w:szCs w:val="21"/>
        </w:rPr>
        <w:t>-</w:t>
      </w:r>
      <w:proofErr w:type="gramEnd"/>
      <w:r>
        <w:rPr>
          <w:i/>
          <w:iCs/>
          <w:sz w:val="21"/>
          <w:szCs w:val="21"/>
        </w:rPr>
        <w:t xml:space="preserve">«Стена»); </w:t>
      </w:r>
      <w:proofErr w:type="spellStart"/>
      <w:r>
        <w:rPr>
          <w:i/>
          <w:iCs/>
          <w:sz w:val="21"/>
          <w:szCs w:val="21"/>
        </w:rPr>
        <w:t>электро</w:t>
      </w:r>
      <w:proofErr w:type="spellEnd"/>
      <w:r>
        <w:rPr>
          <w:i/>
          <w:iCs/>
          <w:sz w:val="21"/>
          <w:szCs w:val="21"/>
        </w:rPr>
        <w:t xml:space="preserve"> -акустическая музыка (лазерное </w:t>
      </w:r>
      <w:proofErr w:type="spellStart"/>
      <w:r>
        <w:rPr>
          <w:i/>
          <w:iCs/>
          <w:sz w:val="21"/>
          <w:szCs w:val="21"/>
        </w:rPr>
        <w:t>шоуЖ.-М</w:t>
      </w:r>
      <w:proofErr w:type="spellEnd"/>
      <w:r>
        <w:rPr>
          <w:i/>
          <w:iCs/>
          <w:sz w:val="21"/>
          <w:szCs w:val="21"/>
        </w:rPr>
        <w:t xml:space="preserve">. </w:t>
      </w:r>
      <w:proofErr w:type="spellStart"/>
      <w:r>
        <w:rPr>
          <w:i/>
          <w:iCs/>
          <w:sz w:val="21"/>
          <w:szCs w:val="21"/>
        </w:rPr>
        <w:t>Жарра</w:t>
      </w:r>
      <w:proofErr w:type="spellEnd"/>
      <w:r>
        <w:rPr>
          <w:i/>
          <w:iCs/>
          <w:sz w:val="21"/>
          <w:szCs w:val="21"/>
        </w:rPr>
        <w:t xml:space="preserve">). Массовое </w:t>
      </w:r>
      <w:proofErr w:type="spellStart"/>
      <w:r>
        <w:rPr>
          <w:i/>
          <w:iCs/>
          <w:sz w:val="21"/>
          <w:szCs w:val="21"/>
        </w:rPr>
        <w:t>искусство</w:t>
      </w:r>
      <w:proofErr w:type="gramStart"/>
      <w:r>
        <w:rPr>
          <w:i/>
          <w:iCs/>
          <w:sz w:val="21"/>
          <w:szCs w:val="21"/>
        </w:rPr>
        <w:t>.</w:t>
      </w:r>
      <w:r w:rsidRPr="00580A35">
        <w:rPr>
          <w:iCs/>
          <w:sz w:val="21"/>
          <w:szCs w:val="21"/>
        </w:rPr>
        <w:t>К</w:t>
      </w:r>
      <w:proofErr w:type="gramEnd"/>
      <w:r w:rsidRPr="00580A35">
        <w:rPr>
          <w:iCs/>
          <w:sz w:val="21"/>
          <w:szCs w:val="21"/>
        </w:rPr>
        <w:t>ультурные</w:t>
      </w:r>
      <w:proofErr w:type="spellEnd"/>
      <w:r w:rsidRPr="00580A35">
        <w:rPr>
          <w:iCs/>
          <w:sz w:val="21"/>
          <w:szCs w:val="21"/>
        </w:rPr>
        <w:t xml:space="preserve"> традиции родного края</w:t>
      </w:r>
    </w:p>
    <w:p w:rsidR="002667E9" w:rsidRDefault="002667E9" w:rsidP="006A4753">
      <w:pPr>
        <w:pStyle w:val="a4"/>
        <w:rPr>
          <w:b/>
        </w:rPr>
      </w:pPr>
    </w:p>
    <w:p w:rsidR="000A7066" w:rsidRDefault="000A7066" w:rsidP="006A4753">
      <w:pPr>
        <w:pStyle w:val="a4"/>
        <w:jc w:val="center"/>
        <w:rPr>
          <w:b/>
        </w:rPr>
      </w:pPr>
      <w:r w:rsidRPr="00AE3E3B">
        <w:rPr>
          <w:b/>
          <w:lang w:val="en-US"/>
        </w:rPr>
        <w:t>III</w:t>
      </w:r>
      <w:r w:rsidRPr="007D35A3">
        <w:rPr>
          <w:b/>
        </w:rPr>
        <w:t xml:space="preserve">. </w:t>
      </w:r>
      <w:proofErr w:type="gramStart"/>
      <w:r w:rsidRPr="00AE3E3B">
        <w:rPr>
          <w:b/>
        </w:rPr>
        <w:t>ТЕМАТИЧЕСКОЕ  ПЛАНИРОВАНИЕ</w:t>
      </w:r>
      <w:proofErr w:type="gramEnd"/>
    </w:p>
    <w:p w:rsidR="000A61E9" w:rsidRDefault="000A61E9" w:rsidP="006A4753">
      <w:pPr>
        <w:pStyle w:val="a4"/>
        <w:rPr>
          <w:b/>
        </w:rPr>
      </w:pPr>
    </w:p>
    <w:tbl>
      <w:tblPr>
        <w:tblW w:w="7677" w:type="dxa"/>
        <w:tblInd w:w="33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"/>
        <w:gridCol w:w="5176"/>
        <w:gridCol w:w="1667"/>
      </w:tblGrid>
      <w:tr w:rsidR="000A61E9" w:rsidRPr="002667E9" w:rsidTr="002667E9">
        <w:trPr>
          <w:trHeight w:val="293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1E9" w:rsidRPr="002667E9" w:rsidRDefault="000A61E9" w:rsidP="007D35A3">
            <w:pPr>
              <w:pStyle w:val="a4"/>
              <w:jc w:val="center"/>
            </w:pPr>
            <w:r w:rsidRPr="002667E9">
              <w:t>№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1E9" w:rsidRPr="002667E9" w:rsidRDefault="000A61E9" w:rsidP="006A4753">
            <w:pPr>
              <w:pStyle w:val="a4"/>
            </w:pPr>
            <w:r w:rsidRPr="002667E9">
              <w:t>Разделы, темы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1E9" w:rsidRPr="002667E9" w:rsidRDefault="002667E9" w:rsidP="007D35A3">
            <w:pPr>
              <w:pStyle w:val="a4"/>
              <w:jc w:val="center"/>
            </w:pPr>
            <w:r>
              <w:t>Кол-</w:t>
            </w:r>
            <w:r w:rsidR="000A61E9" w:rsidRPr="002667E9">
              <w:t>во часов</w:t>
            </w:r>
          </w:p>
        </w:tc>
      </w:tr>
      <w:tr w:rsidR="000A61E9" w:rsidRPr="002667E9" w:rsidTr="002667E9">
        <w:trPr>
          <w:trHeight w:val="326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1E9" w:rsidRPr="002667E9" w:rsidRDefault="000A61E9" w:rsidP="007D35A3">
            <w:pPr>
              <w:pStyle w:val="a4"/>
              <w:jc w:val="center"/>
            </w:pPr>
            <w:r w:rsidRPr="002667E9">
              <w:t>1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1E9" w:rsidRPr="002667E9" w:rsidRDefault="000A61E9" w:rsidP="006A4753">
            <w:pPr>
              <w:pStyle w:val="a4"/>
            </w:pPr>
            <w:r w:rsidRPr="002667E9">
              <w:rPr>
                <w:color w:val="000000" w:themeColor="text1"/>
              </w:rPr>
              <w:t xml:space="preserve">Художественная культура </w:t>
            </w:r>
            <w:r w:rsidRPr="002667E9">
              <w:rPr>
                <w:color w:val="000000" w:themeColor="text1"/>
                <w:lang w:val="en-US"/>
              </w:rPr>
              <w:t>XVII</w:t>
            </w:r>
            <w:r w:rsidRPr="002667E9">
              <w:rPr>
                <w:color w:val="000000" w:themeColor="text1"/>
              </w:rPr>
              <w:t xml:space="preserve"> – </w:t>
            </w:r>
            <w:r w:rsidRPr="002667E9">
              <w:rPr>
                <w:color w:val="000000" w:themeColor="text1"/>
                <w:lang w:val="en-US"/>
              </w:rPr>
              <w:t>XVIII</w:t>
            </w:r>
            <w:r w:rsidRPr="002667E9">
              <w:rPr>
                <w:color w:val="000000" w:themeColor="text1"/>
              </w:rPr>
              <w:t xml:space="preserve"> веков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1E9" w:rsidRPr="002667E9" w:rsidRDefault="000A61E9" w:rsidP="007D35A3">
            <w:pPr>
              <w:pStyle w:val="a4"/>
              <w:jc w:val="center"/>
            </w:pPr>
            <w:r w:rsidRPr="002667E9">
              <w:t>1</w:t>
            </w:r>
            <w:r w:rsidR="007D35A3">
              <w:t>1</w:t>
            </w:r>
          </w:p>
        </w:tc>
      </w:tr>
      <w:tr w:rsidR="000A61E9" w:rsidRPr="002667E9" w:rsidTr="002667E9">
        <w:trPr>
          <w:trHeight w:val="26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1E9" w:rsidRPr="002667E9" w:rsidRDefault="000A61E9" w:rsidP="007D35A3">
            <w:pPr>
              <w:pStyle w:val="a4"/>
              <w:jc w:val="center"/>
            </w:pPr>
            <w:r w:rsidRPr="002667E9">
              <w:t>2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1E9" w:rsidRPr="002667E9" w:rsidRDefault="000A61E9" w:rsidP="006A4753">
            <w:pPr>
              <w:pStyle w:val="a4"/>
            </w:pPr>
            <w:r w:rsidRPr="002667E9">
              <w:rPr>
                <w:color w:val="000000" w:themeColor="text1"/>
              </w:rPr>
              <w:t xml:space="preserve">Художественная культура  </w:t>
            </w:r>
            <w:r w:rsidRPr="002667E9">
              <w:rPr>
                <w:color w:val="000000" w:themeColor="text1"/>
                <w:lang w:val="en-US"/>
              </w:rPr>
              <w:t>XIX</w:t>
            </w:r>
            <w:r w:rsidRPr="002667E9">
              <w:rPr>
                <w:color w:val="000000" w:themeColor="text1"/>
              </w:rPr>
              <w:t xml:space="preserve"> века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1E9" w:rsidRPr="002667E9" w:rsidRDefault="000A61E9" w:rsidP="007D35A3">
            <w:pPr>
              <w:pStyle w:val="a4"/>
              <w:jc w:val="center"/>
            </w:pPr>
            <w:r w:rsidRPr="002667E9">
              <w:t>10</w:t>
            </w:r>
          </w:p>
        </w:tc>
      </w:tr>
      <w:tr w:rsidR="000A61E9" w:rsidRPr="002667E9" w:rsidTr="002667E9">
        <w:trPr>
          <w:trHeight w:val="25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1E9" w:rsidRPr="002667E9" w:rsidRDefault="000A61E9" w:rsidP="007D35A3">
            <w:pPr>
              <w:pStyle w:val="a4"/>
              <w:jc w:val="center"/>
            </w:pPr>
            <w:r w:rsidRPr="002667E9">
              <w:t>3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1E9" w:rsidRPr="002667E9" w:rsidRDefault="000A61E9" w:rsidP="006A4753">
            <w:pPr>
              <w:pStyle w:val="a4"/>
            </w:pPr>
            <w:r w:rsidRPr="002667E9">
              <w:rPr>
                <w:color w:val="000000" w:themeColor="text1"/>
              </w:rPr>
              <w:t xml:space="preserve">Искусство </w:t>
            </w:r>
            <w:r w:rsidRPr="002667E9">
              <w:rPr>
                <w:color w:val="000000" w:themeColor="text1"/>
                <w:lang w:val="en-US"/>
              </w:rPr>
              <w:t>XX</w:t>
            </w:r>
            <w:r w:rsidRPr="002667E9">
              <w:rPr>
                <w:color w:val="000000" w:themeColor="text1"/>
              </w:rPr>
              <w:t xml:space="preserve"> века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1E9" w:rsidRPr="002667E9" w:rsidRDefault="000A61E9" w:rsidP="007D35A3">
            <w:pPr>
              <w:pStyle w:val="a4"/>
              <w:jc w:val="center"/>
            </w:pPr>
            <w:r w:rsidRPr="002667E9">
              <w:t>1</w:t>
            </w:r>
            <w:r w:rsidR="007D35A3">
              <w:t>2</w:t>
            </w:r>
          </w:p>
        </w:tc>
      </w:tr>
      <w:tr w:rsidR="000A61E9" w:rsidRPr="002667E9" w:rsidTr="002667E9">
        <w:trPr>
          <w:trHeight w:val="24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1E9" w:rsidRPr="002667E9" w:rsidRDefault="000A61E9" w:rsidP="007D35A3">
            <w:pPr>
              <w:pStyle w:val="a4"/>
              <w:jc w:val="center"/>
            </w:pP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A61E9" w:rsidRPr="002667E9" w:rsidRDefault="000A61E9" w:rsidP="006A4753">
            <w:pPr>
              <w:pStyle w:val="a4"/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1E9" w:rsidRPr="002667E9" w:rsidRDefault="000A61E9" w:rsidP="007D35A3">
            <w:pPr>
              <w:pStyle w:val="a4"/>
              <w:jc w:val="center"/>
            </w:pPr>
            <w:r w:rsidRPr="002667E9">
              <w:t>Итог: 33 ч.</w:t>
            </w:r>
          </w:p>
        </w:tc>
      </w:tr>
    </w:tbl>
    <w:p w:rsidR="00580A35" w:rsidRDefault="00580A35" w:rsidP="006A4753">
      <w:pPr>
        <w:pStyle w:val="a4"/>
      </w:pPr>
    </w:p>
    <w:sectPr w:rsidR="00580A35" w:rsidSect="006A4753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342C"/>
    <w:rsid w:val="000A61E9"/>
    <w:rsid w:val="000A7066"/>
    <w:rsid w:val="001262BC"/>
    <w:rsid w:val="0021630F"/>
    <w:rsid w:val="002667E9"/>
    <w:rsid w:val="002D0EA9"/>
    <w:rsid w:val="0039037C"/>
    <w:rsid w:val="004538DA"/>
    <w:rsid w:val="00580A35"/>
    <w:rsid w:val="006A4753"/>
    <w:rsid w:val="00701B95"/>
    <w:rsid w:val="0074374D"/>
    <w:rsid w:val="007D35A3"/>
    <w:rsid w:val="0089342C"/>
    <w:rsid w:val="008F4275"/>
    <w:rsid w:val="009428AD"/>
    <w:rsid w:val="00AB17FA"/>
    <w:rsid w:val="00BB0303"/>
    <w:rsid w:val="00CD6B7D"/>
    <w:rsid w:val="00F806F8"/>
    <w:rsid w:val="00F8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A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2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667E9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4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4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2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70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56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uzer</cp:lastModifiedBy>
  <cp:revision>14</cp:revision>
  <dcterms:created xsi:type="dcterms:W3CDTF">2019-06-04T08:23:00Z</dcterms:created>
  <dcterms:modified xsi:type="dcterms:W3CDTF">2021-09-15T18:14:00Z</dcterms:modified>
</cp:coreProperties>
</file>